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A7633" w14:textId="2A253808" w:rsidR="007727D7" w:rsidRPr="00DB69F0" w:rsidRDefault="00666EC4" w:rsidP="00666EC4">
      <w:pPr>
        <w:jc w:val="center"/>
        <w:rPr>
          <w:b/>
          <w:bCs/>
          <w:color w:val="4472C4" w:themeColor="accent1"/>
          <w:sz w:val="28"/>
          <w:szCs w:val="28"/>
        </w:rPr>
      </w:pPr>
      <w:r w:rsidRPr="00DB69F0">
        <w:rPr>
          <w:b/>
          <w:bCs/>
          <w:color w:val="4472C4" w:themeColor="accent1"/>
          <w:sz w:val="28"/>
          <w:szCs w:val="28"/>
        </w:rPr>
        <w:t>Inventario rifiuti</w:t>
      </w:r>
      <w:r w:rsidR="000E0CDB">
        <w:rPr>
          <w:b/>
          <w:bCs/>
          <w:color w:val="4472C4" w:themeColor="accent1"/>
          <w:sz w:val="28"/>
          <w:szCs w:val="28"/>
        </w:rPr>
        <w:t xml:space="preserve"> – criteri per la stima delle quantità</w:t>
      </w:r>
    </w:p>
    <w:p w14:paraId="68D40699" w14:textId="7CBABFAB" w:rsidR="00666EC4" w:rsidRDefault="00491420" w:rsidP="00317B0B">
      <w:pPr>
        <w:jc w:val="both"/>
        <w:rPr>
          <w:sz w:val="24"/>
          <w:szCs w:val="24"/>
        </w:rPr>
      </w:pPr>
      <w:r>
        <w:rPr>
          <w:sz w:val="24"/>
          <w:szCs w:val="24"/>
        </w:rPr>
        <w:t>Dato che</w:t>
      </w:r>
      <w:r w:rsidR="00666EC4">
        <w:rPr>
          <w:sz w:val="24"/>
          <w:szCs w:val="24"/>
        </w:rPr>
        <w:t xml:space="preserve"> il MUD e i formulari di trasporto sono parziali, si è provveduto ad effettuare delle stime per completare i campi mancanti.</w:t>
      </w:r>
    </w:p>
    <w:p w14:paraId="4B1905CD" w14:textId="35DB0BD1" w:rsidR="00666EC4" w:rsidRDefault="00666EC4" w:rsidP="00666EC4">
      <w:pPr>
        <w:rPr>
          <w:sz w:val="24"/>
          <w:szCs w:val="24"/>
        </w:rPr>
      </w:pPr>
      <w:r>
        <w:rPr>
          <w:sz w:val="24"/>
          <w:szCs w:val="24"/>
        </w:rPr>
        <w:t xml:space="preserve">Il criterio </w:t>
      </w:r>
      <w:r w:rsidR="00D72DDA">
        <w:rPr>
          <w:sz w:val="24"/>
          <w:szCs w:val="24"/>
        </w:rPr>
        <w:t xml:space="preserve">usato </w:t>
      </w:r>
      <w:r>
        <w:rPr>
          <w:sz w:val="24"/>
          <w:szCs w:val="24"/>
        </w:rPr>
        <w:t xml:space="preserve">per </w:t>
      </w:r>
      <w:r w:rsidR="00D72DDA">
        <w:rPr>
          <w:sz w:val="24"/>
          <w:szCs w:val="24"/>
        </w:rPr>
        <w:t xml:space="preserve">compilare </w:t>
      </w:r>
      <w:r>
        <w:rPr>
          <w:sz w:val="24"/>
          <w:szCs w:val="24"/>
        </w:rPr>
        <w:t>i campi:</w:t>
      </w:r>
    </w:p>
    <w:p w14:paraId="039C5AE6" w14:textId="594243D0" w:rsidR="00666EC4" w:rsidRDefault="00666EC4" w:rsidP="00666EC4">
      <w:pPr>
        <w:pStyle w:val="Paragrafoelenco"/>
        <w:numPr>
          <w:ilvl w:val="0"/>
          <w:numId w:val="1"/>
        </w:numPr>
        <w:rPr>
          <w:sz w:val="24"/>
          <w:szCs w:val="24"/>
        </w:rPr>
      </w:pPr>
      <w:r>
        <w:rPr>
          <w:sz w:val="24"/>
          <w:szCs w:val="24"/>
        </w:rPr>
        <w:t>Imballaggi in carta e cartone</w:t>
      </w:r>
    </w:p>
    <w:p w14:paraId="5E3075BA" w14:textId="60D33BEE" w:rsidR="00666EC4" w:rsidRDefault="00666EC4" w:rsidP="00666EC4">
      <w:pPr>
        <w:pStyle w:val="Paragrafoelenco"/>
        <w:numPr>
          <w:ilvl w:val="0"/>
          <w:numId w:val="1"/>
        </w:numPr>
        <w:rPr>
          <w:sz w:val="24"/>
          <w:szCs w:val="24"/>
        </w:rPr>
      </w:pPr>
      <w:r>
        <w:rPr>
          <w:sz w:val="24"/>
          <w:szCs w:val="24"/>
        </w:rPr>
        <w:t>Imballaggi in plastica</w:t>
      </w:r>
    </w:p>
    <w:p w14:paraId="22AF0848" w14:textId="16FC9C41" w:rsidR="00666EC4" w:rsidRDefault="00666EC4" w:rsidP="00666EC4">
      <w:pPr>
        <w:rPr>
          <w:sz w:val="24"/>
          <w:szCs w:val="24"/>
        </w:rPr>
      </w:pPr>
      <w:r>
        <w:rPr>
          <w:sz w:val="24"/>
          <w:szCs w:val="24"/>
        </w:rPr>
        <w:t>è stato il seguente:</w:t>
      </w:r>
    </w:p>
    <w:p w14:paraId="740318E4" w14:textId="7BA4F999" w:rsidR="00666EC4" w:rsidRPr="00666EC4" w:rsidRDefault="00666EC4" w:rsidP="00666EC4">
      <w:pPr>
        <w:rPr>
          <w:rFonts w:eastAsiaTheme="minorEastAsia"/>
          <w:sz w:val="24"/>
          <w:szCs w:val="24"/>
        </w:rPr>
      </w:pPr>
      <m:oMathPara>
        <m:oMath>
          <m:r>
            <w:rPr>
              <w:rFonts w:ascii="Cambria Math" w:hAnsi="Cambria Math"/>
              <w:sz w:val="24"/>
              <w:szCs w:val="24"/>
            </w:rPr>
            <m:t xml:space="preserve">Peso rifiuti nel </m:t>
          </m:r>
          <m:sSub>
            <m:sSubPr>
              <m:ctrlPr>
                <w:rPr>
                  <w:rFonts w:ascii="Cambria Math" w:hAnsi="Cambria Math"/>
                  <w:i/>
                  <w:sz w:val="24"/>
                  <w:szCs w:val="24"/>
                </w:rPr>
              </m:ctrlPr>
            </m:sSubPr>
            <m:e>
              <m:r>
                <w:rPr>
                  <w:rFonts w:ascii="Cambria Math" w:hAnsi="Cambria Math"/>
                  <w:sz w:val="24"/>
                  <w:szCs w:val="24"/>
                </w:rPr>
                <m:t>cassonetto</m:t>
              </m:r>
            </m:e>
            <m:sub>
              <m:r>
                <w:rPr>
                  <w:rFonts w:ascii="Cambria Math" w:hAnsi="Cambria Math"/>
                  <w:sz w:val="24"/>
                  <w:szCs w:val="24"/>
                </w:rPr>
                <m:t>i</m:t>
              </m:r>
            </m:sub>
          </m:sSub>
          <m:r>
            <w:rPr>
              <w:rFonts w:ascii="Cambria Math" w:hAnsi="Cambria Math"/>
              <w:sz w:val="24"/>
              <w:szCs w:val="24"/>
            </w:rPr>
            <m:t xml:space="preserve">=Peso </m:t>
          </m:r>
          <m:sSub>
            <m:sSubPr>
              <m:ctrlPr>
                <w:rPr>
                  <w:rFonts w:ascii="Cambria Math" w:hAnsi="Cambria Math"/>
                  <w:i/>
                  <w:sz w:val="24"/>
                  <w:szCs w:val="24"/>
                </w:rPr>
              </m:ctrlPr>
            </m:sSubPr>
            <m:e>
              <m:r>
                <w:rPr>
                  <w:rFonts w:ascii="Cambria Math" w:hAnsi="Cambria Math"/>
                  <w:sz w:val="24"/>
                  <w:szCs w:val="24"/>
                </w:rPr>
                <m:t>cassonetto</m:t>
              </m:r>
            </m:e>
            <m:sub>
              <m:r>
                <w:rPr>
                  <w:rFonts w:ascii="Cambria Math" w:hAnsi="Cambria Math"/>
                  <w:sz w:val="24"/>
                  <w:szCs w:val="24"/>
                </w:rPr>
                <m:t>i</m:t>
              </m:r>
            </m:sub>
          </m:sSub>
          <m:r>
            <w:rPr>
              <w:rFonts w:ascii="Cambria Math" w:hAnsi="Cambria Math"/>
              <w:sz w:val="24"/>
              <w:szCs w:val="24"/>
            </w:rPr>
            <m:t xml:space="preserve"> pieno-Tara </m:t>
          </m:r>
          <m:sSub>
            <m:sSubPr>
              <m:ctrlPr>
                <w:rPr>
                  <w:rFonts w:ascii="Cambria Math" w:hAnsi="Cambria Math"/>
                  <w:i/>
                  <w:sz w:val="24"/>
                  <w:szCs w:val="24"/>
                </w:rPr>
              </m:ctrlPr>
            </m:sSubPr>
            <m:e>
              <m:r>
                <w:rPr>
                  <w:rFonts w:ascii="Cambria Math" w:hAnsi="Cambria Math"/>
                  <w:sz w:val="24"/>
                  <w:szCs w:val="24"/>
                </w:rPr>
                <m:t>cassonetto</m:t>
              </m:r>
            </m:e>
            <m:sub>
              <m:r>
                <w:rPr>
                  <w:rFonts w:ascii="Cambria Math" w:hAnsi="Cambria Math"/>
                  <w:sz w:val="24"/>
                  <w:szCs w:val="24"/>
                </w:rPr>
                <m:t>i</m:t>
              </m:r>
            </m:sub>
          </m:sSub>
        </m:oMath>
      </m:oMathPara>
    </w:p>
    <w:p w14:paraId="00118555" w14:textId="1BBA2B74" w:rsidR="00666EC4" w:rsidRDefault="00375A9C" w:rsidP="00317B0B">
      <w:pPr>
        <w:jc w:val="both"/>
        <w:rPr>
          <w:sz w:val="24"/>
          <w:szCs w:val="24"/>
        </w:rPr>
      </w:pPr>
      <w:r>
        <w:rPr>
          <w:sz w:val="24"/>
          <w:szCs w:val="24"/>
        </w:rPr>
        <w:t>Questo valore</w:t>
      </w:r>
      <w:r w:rsidR="005F1414">
        <w:rPr>
          <w:sz w:val="24"/>
          <w:szCs w:val="24"/>
        </w:rPr>
        <w:t xml:space="preserve"> è stato</w:t>
      </w:r>
      <w:r>
        <w:rPr>
          <w:sz w:val="24"/>
          <w:szCs w:val="24"/>
        </w:rPr>
        <w:t xml:space="preserve"> rilevato nella settimana del 1/6/2021, </w:t>
      </w:r>
      <w:r w:rsidR="005F1414">
        <w:rPr>
          <w:sz w:val="24"/>
          <w:szCs w:val="24"/>
        </w:rPr>
        <w:t>ed è</w:t>
      </w:r>
      <w:r>
        <w:rPr>
          <w:sz w:val="24"/>
          <w:szCs w:val="24"/>
        </w:rPr>
        <w:t xml:space="preserve"> considerato una buona approssimazione di quanto buttato in una settimana media. </w:t>
      </w:r>
      <w:r w:rsidR="005F1414">
        <w:rPr>
          <w:sz w:val="24"/>
          <w:szCs w:val="24"/>
        </w:rPr>
        <w:t>È</w:t>
      </w:r>
      <w:r>
        <w:rPr>
          <w:sz w:val="24"/>
          <w:szCs w:val="24"/>
        </w:rPr>
        <w:t xml:space="preserve"> poi moltiplicato per il numero di </w:t>
      </w:r>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cassonetti</m:t>
            </m:r>
          </m:e>
          <m:sub>
            <m:r>
              <w:rPr>
                <w:rFonts w:ascii="Cambria Math" w:hAnsi="Cambria Math"/>
                <w:sz w:val="24"/>
                <w:szCs w:val="24"/>
              </w:rPr>
              <m:t>i</m:t>
            </m:r>
          </m:sub>
        </m:sSub>
      </m:oMath>
      <w:r>
        <w:rPr>
          <w:rStyle w:val="Rimandonotaapidipagina"/>
          <w:sz w:val="24"/>
          <w:szCs w:val="24"/>
        </w:rPr>
        <w:footnoteReference w:id="1"/>
      </w:r>
      <w:r>
        <w:rPr>
          <w:sz w:val="24"/>
          <w:szCs w:val="24"/>
        </w:rPr>
        <w:t xml:space="preserve"> </w:t>
      </w:r>
      <w:r w:rsidR="005F1414">
        <w:rPr>
          <w:sz w:val="24"/>
          <w:szCs w:val="24"/>
        </w:rPr>
        <w:t xml:space="preserve">con il </w:t>
      </w:r>
      <w:r>
        <w:rPr>
          <w:sz w:val="24"/>
          <w:szCs w:val="24"/>
        </w:rPr>
        <w:t>loro relativo tasso di riempimento (</w:t>
      </w:r>
      <w:r w:rsidR="005F1414">
        <w:rPr>
          <w:sz w:val="24"/>
          <w:szCs w:val="24"/>
        </w:rPr>
        <w:t>percentuale</w:t>
      </w:r>
      <w:r>
        <w:rPr>
          <w:sz w:val="24"/>
          <w:szCs w:val="24"/>
        </w:rPr>
        <w:t xml:space="preserve"> stimato dall’addetto</w:t>
      </w:r>
      <w:r w:rsidR="005F1414">
        <w:rPr>
          <w:sz w:val="24"/>
          <w:szCs w:val="24"/>
        </w:rPr>
        <w:t xml:space="preserve"> a 100%</w:t>
      </w:r>
      <w:r>
        <w:rPr>
          <w:sz w:val="24"/>
          <w:szCs w:val="24"/>
        </w:rPr>
        <w:t>)</w:t>
      </w:r>
      <w:r w:rsidR="005F1414">
        <w:rPr>
          <w:sz w:val="24"/>
          <w:szCs w:val="24"/>
        </w:rPr>
        <w:t xml:space="preserve"> e il numero di settimane lavorative in un anno (stimato a 45)</w:t>
      </w:r>
      <w:r w:rsidR="00565FCF">
        <w:rPr>
          <w:sz w:val="24"/>
          <w:szCs w:val="24"/>
        </w:rPr>
        <w:t>. Ne risulta:</w:t>
      </w:r>
    </w:p>
    <w:p w14:paraId="31260C5E" w14:textId="180F82C8" w:rsidR="00932069" w:rsidRPr="00482307" w:rsidRDefault="00565FCF" w:rsidP="00305A73">
      <w:pPr>
        <w:jc w:val="center"/>
        <w:rPr>
          <w:rFonts w:eastAsiaTheme="minorEastAsia"/>
          <w:sz w:val="24"/>
          <w:szCs w:val="24"/>
        </w:rPr>
      </w:pPr>
      <m:oMathPara>
        <m:oMath>
          <m:r>
            <w:rPr>
              <w:rFonts w:ascii="Cambria Math" w:hAnsi="Cambria Math"/>
              <w:sz w:val="24"/>
              <w:szCs w:val="24"/>
            </w:rPr>
            <m:t>Rifiuti annuali=</m:t>
          </m:r>
          <m:nary>
            <m:naryPr>
              <m:chr m:val="∑"/>
              <m:limLoc m:val="undOvr"/>
              <m:supHide m:val="1"/>
              <m:ctrlPr>
                <w:rPr>
                  <w:rFonts w:ascii="Cambria Math" w:hAnsi="Cambria Math"/>
                  <w:i/>
                  <w:sz w:val="24"/>
                  <w:szCs w:val="24"/>
                </w:rPr>
              </m:ctrlPr>
            </m:naryPr>
            <m:sub>
              <m:r>
                <w:rPr>
                  <w:rFonts w:ascii="Cambria Math" w:hAnsi="Cambria Math"/>
                  <w:sz w:val="24"/>
                  <w:szCs w:val="24"/>
                </w:rPr>
                <m:t>i</m:t>
              </m:r>
            </m:sub>
            <m:sup/>
            <m:e>
              <m:r>
                <w:rPr>
                  <w:rFonts w:ascii="Cambria Math" w:hAnsi="Cambria Math"/>
                  <w:sz w:val="24"/>
                  <w:szCs w:val="24"/>
                </w:rPr>
                <m:t xml:space="preserve">Peso rifiuti </m:t>
              </m:r>
              <m:sSub>
                <m:sSubPr>
                  <m:ctrlPr>
                    <w:rPr>
                      <w:rFonts w:ascii="Cambria Math" w:hAnsi="Cambria Math"/>
                      <w:i/>
                      <w:sz w:val="24"/>
                      <w:szCs w:val="24"/>
                    </w:rPr>
                  </m:ctrlPr>
                </m:sSubPr>
                <m:e>
                  <m:r>
                    <w:rPr>
                      <w:rFonts w:ascii="Cambria Math" w:hAnsi="Cambria Math"/>
                      <w:sz w:val="24"/>
                      <w:szCs w:val="24"/>
                    </w:rPr>
                    <m:t>cassonetto</m:t>
                  </m:r>
                </m:e>
                <m:sub>
                  <m:r>
                    <w:rPr>
                      <w:rFonts w:ascii="Cambria Math" w:hAnsi="Cambria Math"/>
                      <w:sz w:val="24"/>
                      <w:szCs w:val="24"/>
                    </w:rPr>
                    <m:t>i</m:t>
                  </m:r>
                </m:sub>
              </m:sSub>
              <m:r>
                <w:rPr>
                  <w:rFonts w:ascii="Cambria Math" w:hAnsi="Cambria Math"/>
                  <w:sz w:val="24"/>
                  <w:szCs w:val="24"/>
                </w:rPr>
                <m:t xml:space="preserve">*Quantità </m:t>
              </m:r>
              <m:sSub>
                <m:sSubPr>
                  <m:ctrlPr>
                    <w:rPr>
                      <w:rFonts w:ascii="Cambria Math" w:hAnsi="Cambria Math"/>
                      <w:i/>
                      <w:sz w:val="24"/>
                      <w:szCs w:val="24"/>
                    </w:rPr>
                  </m:ctrlPr>
                </m:sSubPr>
                <m:e>
                  <m:r>
                    <w:rPr>
                      <w:rFonts w:ascii="Cambria Math" w:hAnsi="Cambria Math"/>
                      <w:sz w:val="24"/>
                      <w:szCs w:val="24"/>
                    </w:rPr>
                    <m:t>cassonetto</m:t>
                  </m:r>
                </m:e>
                <m:sub>
                  <m:r>
                    <w:rPr>
                      <w:rFonts w:ascii="Cambria Math" w:hAnsi="Cambria Math"/>
                      <w:sz w:val="24"/>
                      <w:szCs w:val="24"/>
                    </w:rPr>
                    <m:t>i</m:t>
                  </m:r>
                </m:sub>
              </m:sSub>
              <m:r>
                <w:rPr>
                  <w:rFonts w:ascii="Cambria Math" w:hAnsi="Cambria Math"/>
                  <w:sz w:val="24"/>
                  <w:szCs w:val="24"/>
                </w:rPr>
                <m:t>*100%*45</m:t>
              </m:r>
            </m:e>
          </m:nary>
        </m:oMath>
      </m:oMathPara>
    </w:p>
    <w:p w14:paraId="7AF4C4F9" w14:textId="5EC8E343" w:rsidR="00482307" w:rsidRDefault="00482307" w:rsidP="00482307">
      <w:pPr>
        <w:rPr>
          <w:rFonts w:eastAsiaTheme="minorEastAsia"/>
          <w:sz w:val="24"/>
          <w:szCs w:val="24"/>
        </w:rPr>
      </w:pPr>
      <w:r>
        <w:rPr>
          <w:rFonts w:eastAsiaTheme="minorEastAsia"/>
          <w:sz w:val="24"/>
          <w:szCs w:val="24"/>
        </w:rPr>
        <w:t>Unendo le due formule e inserendo i numeri</w:t>
      </w:r>
      <w:r>
        <w:rPr>
          <w:rStyle w:val="Rimandonotaapidipagina"/>
          <w:rFonts w:eastAsiaTheme="minorEastAsia"/>
          <w:sz w:val="24"/>
          <w:szCs w:val="24"/>
        </w:rPr>
        <w:footnoteReference w:id="2"/>
      </w:r>
      <w:r>
        <w:rPr>
          <w:rFonts w:eastAsiaTheme="minorEastAsia"/>
          <w:sz w:val="24"/>
          <w:szCs w:val="24"/>
        </w:rPr>
        <w:t>, otteniamo quindi:</w:t>
      </w:r>
    </w:p>
    <w:p w14:paraId="53BAEDA2" w14:textId="6B6F68C1" w:rsidR="00482307" w:rsidRPr="00482307" w:rsidRDefault="00482307" w:rsidP="00482307">
      <w:pPr>
        <w:rPr>
          <w:rFonts w:eastAsiaTheme="minorEastAsia"/>
          <w:sz w:val="24"/>
          <w:szCs w:val="24"/>
        </w:rPr>
      </w:pPr>
      <m:oMathPara>
        <m:oMath>
          <m:r>
            <w:rPr>
              <w:rFonts w:ascii="Cambria Math" w:eastAsiaTheme="minorEastAsia" w:hAnsi="Cambria Math"/>
              <w:sz w:val="24"/>
              <w:szCs w:val="24"/>
            </w:rPr>
            <m:t>Carta e cartone=</m:t>
          </m:r>
          <m:d>
            <m:dPr>
              <m:ctrlPr>
                <w:rPr>
                  <w:rFonts w:ascii="Cambria Math" w:eastAsiaTheme="minorEastAsia" w:hAnsi="Cambria Math"/>
                  <w:i/>
                  <w:sz w:val="24"/>
                  <w:szCs w:val="24"/>
                </w:rPr>
              </m:ctrlPr>
            </m:dPr>
            <m:e>
              <m:r>
                <w:rPr>
                  <w:rFonts w:ascii="Cambria Math" w:eastAsiaTheme="minorEastAsia" w:hAnsi="Cambria Math"/>
                  <w:sz w:val="24"/>
                  <w:szCs w:val="24"/>
                </w:rPr>
                <m:t>75-40</m:t>
              </m:r>
            </m:e>
          </m:d>
          <m:r>
            <w:rPr>
              <w:rFonts w:ascii="Cambria Math" w:eastAsiaTheme="minorEastAsia" w:hAnsi="Cambria Math"/>
              <w:sz w:val="24"/>
              <w:szCs w:val="24"/>
            </w:rPr>
            <m:t>*4*1*45+</m:t>
          </m:r>
          <m:d>
            <m:dPr>
              <m:ctrlPr>
                <w:rPr>
                  <w:rFonts w:ascii="Cambria Math" w:eastAsiaTheme="minorEastAsia" w:hAnsi="Cambria Math"/>
                  <w:i/>
                  <w:sz w:val="24"/>
                  <w:szCs w:val="24"/>
                </w:rPr>
              </m:ctrlPr>
            </m:dPr>
            <m:e>
              <m:r>
                <w:rPr>
                  <w:rFonts w:ascii="Cambria Math" w:eastAsiaTheme="minorEastAsia" w:hAnsi="Cambria Math"/>
                  <w:sz w:val="24"/>
                  <w:szCs w:val="24"/>
                </w:rPr>
                <m:t>40-20</m:t>
              </m:r>
            </m:e>
          </m:d>
          <m:r>
            <w:rPr>
              <w:rFonts w:ascii="Cambria Math" w:eastAsiaTheme="minorEastAsia" w:hAnsi="Cambria Math"/>
              <w:sz w:val="24"/>
              <w:szCs w:val="24"/>
            </w:rPr>
            <m:t>*2*1*45=8100 kg</m:t>
          </m:r>
        </m:oMath>
      </m:oMathPara>
    </w:p>
    <w:p w14:paraId="2C12A601" w14:textId="1A7838BE" w:rsidR="00482307" w:rsidRPr="00995EE7" w:rsidRDefault="00482307" w:rsidP="00482307">
      <w:pPr>
        <w:rPr>
          <w:rFonts w:eastAsiaTheme="minorEastAsia"/>
          <w:sz w:val="24"/>
          <w:szCs w:val="24"/>
        </w:rPr>
      </w:pPr>
      <m:oMathPara>
        <m:oMath>
          <m:r>
            <w:rPr>
              <w:rFonts w:ascii="Cambria Math" w:eastAsiaTheme="minorEastAsia" w:hAnsi="Cambria Math"/>
              <w:sz w:val="24"/>
              <w:szCs w:val="24"/>
            </w:rPr>
            <m:t>Plastica=</m:t>
          </m:r>
          <m:d>
            <m:dPr>
              <m:ctrlPr>
                <w:rPr>
                  <w:rFonts w:ascii="Cambria Math" w:eastAsiaTheme="minorEastAsia" w:hAnsi="Cambria Math"/>
                  <w:i/>
                  <w:sz w:val="24"/>
                  <w:szCs w:val="24"/>
                </w:rPr>
              </m:ctrlPr>
            </m:dPr>
            <m:e>
              <m:r>
                <w:rPr>
                  <w:rFonts w:ascii="Cambria Math" w:eastAsiaTheme="minorEastAsia" w:hAnsi="Cambria Math"/>
                  <w:sz w:val="24"/>
                  <w:szCs w:val="24"/>
                </w:rPr>
                <m:t>90-57</m:t>
              </m:r>
            </m:e>
          </m:d>
          <m:r>
            <w:rPr>
              <w:rFonts w:ascii="Cambria Math" w:eastAsiaTheme="minorEastAsia" w:hAnsi="Cambria Math"/>
              <w:sz w:val="24"/>
              <w:szCs w:val="24"/>
            </w:rPr>
            <m:t>*2*1*45=2970 kg</m:t>
          </m:r>
        </m:oMath>
      </m:oMathPara>
    </w:p>
    <w:p w14:paraId="11257EA8" w14:textId="7B40795D" w:rsidR="00995EE7" w:rsidRDefault="00995EE7" w:rsidP="00F13DF3">
      <w:pPr>
        <w:jc w:val="both"/>
        <w:rPr>
          <w:rFonts w:eastAsiaTheme="minorEastAsia"/>
          <w:sz w:val="24"/>
          <w:szCs w:val="24"/>
        </w:rPr>
      </w:pPr>
      <w:r>
        <w:rPr>
          <w:rFonts w:eastAsiaTheme="minorEastAsia"/>
          <w:sz w:val="24"/>
          <w:szCs w:val="24"/>
        </w:rPr>
        <w:t>Questi valori si considerano costanti per il 2019 e il 2020. Per il 2018, invece, si è provveduto a moltiplicare per un fattore 1,07, in virtù del fatto che quell’anno la produzione è stata circa il 7% più elevata (280.000 capi prodotti rispetto ai 262.000 del 2019).</w:t>
      </w:r>
    </w:p>
    <w:p w14:paraId="0C8AD0EA" w14:textId="1006EF67" w:rsidR="00462E40" w:rsidRDefault="00462E40" w:rsidP="00843C57">
      <w:pPr>
        <w:jc w:val="both"/>
        <w:rPr>
          <w:rFonts w:eastAsiaTheme="minorEastAsia"/>
          <w:sz w:val="24"/>
          <w:szCs w:val="24"/>
        </w:rPr>
      </w:pPr>
      <w:r>
        <w:rPr>
          <w:rFonts w:eastAsiaTheme="minorEastAsia"/>
          <w:sz w:val="24"/>
          <w:szCs w:val="24"/>
        </w:rPr>
        <w:t xml:space="preserve">Per quanto riguarda gli imballaggi in legno (pallet), </w:t>
      </w:r>
      <w:r w:rsidR="00D03CDB">
        <w:rPr>
          <w:rFonts w:eastAsiaTheme="minorEastAsia"/>
          <w:sz w:val="24"/>
          <w:szCs w:val="24"/>
        </w:rPr>
        <w:t xml:space="preserve">tutti </w:t>
      </w:r>
      <w:r>
        <w:rPr>
          <w:rFonts w:eastAsiaTheme="minorEastAsia"/>
          <w:sz w:val="24"/>
          <w:szCs w:val="24"/>
        </w:rPr>
        <w:t xml:space="preserve">gli </w:t>
      </w:r>
      <w:r w:rsidR="00211EFC">
        <w:rPr>
          <w:rFonts w:eastAsiaTheme="minorEastAsia"/>
          <w:sz w:val="24"/>
          <w:szCs w:val="24"/>
        </w:rPr>
        <w:t>EPAL</w:t>
      </w:r>
      <w:r w:rsidR="00D03CDB">
        <w:rPr>
          <w:rFonts w:eastAsiaTheme="minorEastAsia"/>
          <w:sz w:val="24"/>
          <w:szCs w:val="24"/>
        </w:rPr>
        <w:t xml:space="preserve"> sono restituiti al fornitore, mentre i pallet non certificati</w:t>
      </w:r>
      <w:r>
        <w:rPr>
          <w:rFonts w:eastAsiaTheme="minorEastAsia"/>
          <w:sz w:val="24"/>
          <w:szCs w:val="24"/>
        </w:rPr>
        <w:t xml:space="preserve"> </w:t>
      </w:r>
      <w:r w:rsidR="00D03CDB">
        <w:rPr>
          <w:rFonts w:eastAsiaTheme="minorEastAsia"/>
          <w:sz w:val="24"/>
          <w:szCs w:val="24"/>
        </w:rPr>
        <w:t>vengono usati per le spedizioni</w:t>
      </w:r>
      <w:r>
        <w:rPr>
          <w:rFonts w:eastAsiaTheme="minorEastAsia"/>
          <w:sz w:val="24"/>
          <w:szCs w:val="24"/>
        </w:rPr>
        <w:t>. Per questo motivo, sono contabilizzati a 0. Tutti gli altri pallet vengono attualmente usati intern</w:t>
      </w:r>
      <w:r w:rsidR="00D03CDB">
        <w:rPr>
          <w:rFonts w:eastAsiaTheme="minorEastAsia"/>
          <w:sz w:val="24"/>
          <w:szCs w:val="24"/>
        </w:rPr>
        <w:t>amente per lo stoccaggio</w:t>
      </w:r>
      <w:r>
        <w:rPr>
          <w:rFonts w:eastAsiaTheme="minorEastAsia"/>
          <w:sz w:val="24"/>
          <w:szCs w:val="24"/>
        </w:rPr>
        <w:t>, e gli unici scarti sono costituiti da quelli che si rompono, un evento che in virtù della sua grande occasionalità non viene contabilizzato.</w:t>
      </w:r>
    </w:p>
    <w:p w14:paraId="7E3B0833" w14:textId="4E75CD40" w:rsidR="00BB1F70" w:rsidRDefault="00211EFC" w:rsidP="00843C57">
      <w:pPr>
        <w:jc w:val="both"/>
        <w:rPr>
          <w:sz w:val="20"/>
          <w:szCs w:val="20"/>
        </w:rPr>
      </w:pPr>
      <w:r>
        <w:rPr>
          <w:sz w:val="24"/>
          <w:szCs w:val="24"/>
        </w:rPr>
        <w:t xml:space="preserve">La sezione apparecchiature fuori uso risulta </w:t>
      </w:r>
      <w:r w:rsidR="00BB1F70">
        <w:rPr>
          <w:sz w:val="24"/>
          <w:szCs w:val="24"/>
        </w:rPr>
        <w:t>pari a zero</w:t>
      </w:r>
      <w:r>
        <w:rPr>
          <w:sz w:val="24"/>
          <w:szCs w:val="24"/>
        </w:rPr>
        <w:t xml:space="preserve"> in quanto l’ultima volta che </w:t>
      </w:r>
      <w:r w:rsidR="00BB1F70">
        <w:rPr>
          <w:sz w:val="24"/>
          <w:szCs w:val="24"/>
        </w:rPr>
        <w:t>sono stati smaltiti prodotti di questo tipo è stato il 19/12/2016</w:t>
      </w:r>
      <w:r w:rsidR="00856B40">
        <w:rPr>
          <w:sz w:val="24"/>
          <w:szCs w:val="24"/>
        </w:rPr>
        <w:t>.</w:t>
      </w:r>
    </w:p>
    <w:p w14:paraId="42BFEB11" w14:textId="40CFC4C1" w:rsidR="00462E40" w:rsidRDefault="00BB1F70" w:rsidP="00843C57">
      <w:pPr>
        <w:jc w:val="both"/>
        <w:rPr>
          <w:sz w:val="24"/>
          <w:szCs w:val="24"/>
        </w:rPr>
      </w:pPr>
      <w:r>
        <w:rPr>
          <w:sz w:val="24"/>
          <w:szCs w:val="24"/>
        </w:rPr>
        <w:t>A proposito delle emulsioni, gli scarti vengono accumulati in una vasca di raccolta con capacità 1000kg. Questa vasca è stata svuotata nel 2018, e</w:t>
      </w:r>
      <w:r w:rsidR="00FF3AE3">
        <w:rPr>
          <w:sz w:val="24"/>
          <w:szCs w:val="24"/>
        </w:rPr>
        <w:t>, a g</w:t>
      </w:r>
      <w:r>
        <w:rPr>
          <w:sz w:val="24"/>
          <w:szCs w:val="24"/>
        </w:rPr>
        <w:t xml:space="preserve">iugno 2021, </w:t>
      </w:r>
      <w:r w:rsidR="00254FEE">
        <w:rPr>
          <w:sz w:val="24"/>
          <w:szCs w:val="24"/>
        </w:rPr>
        <w:t xml:space="preserve">è </w:t>
      </w:r>
      <w:r>
        <w:rPr>
          <w:sz w:val="24"/>
          <w:szCs w:val="24"/>
        </w:rPr>
        <w:t>piena per circa il 75%.</w:t>
      </w:r>
    </w:p>
    <w:p w14:paraId="4188B961" w14:textId="5C294F38" w:rsidR="00BB1F70" w:rsidRDefault="00BB1F70" w:rsidP="00317B0B">
      <w:pPr>
        <w:ind w:left="1410" w:hanging="705"/>
        <w:jc w:val="both"/>
        <w:rPr>
          <w:sz w:val="24"/>
          <w:szCs w:val="24"/>
        </w:rPr>
      </w:pPr>
      <w:r>
        <w:rPr>
          <w:sz w:val="24"/>
          <w:szCs w:val="24"/>
        </w:rPr>
        <w:t>Nota:</w:t>
      </w:r>
      <w:r w:rsidR="00317B0B">
        <w:rPr>
          <w:sz w:val="24"/>
          <w:szCs w:val="24"/>
        </w:rPr>
        <w:tab/>
      </w:r>
      <w:r>
        <w:rPr>
          <w:sz w:val="24"/>
          <w:szCs w:val="24"/>
        </w:rPr>
        <w:t xml:space="preserve">Il codice rifiuto segnato </w:t>
      </w:r>
      <w:r w:rsidR="00317B0B">
        <w:rPr>
          <w:sz w:val="24"/>
          <w:szCs w:val="24"/>
        </w:rPr>
        <w:t xml:space="preserve">sull’Excel </w:t>
      </w:r>
      <w:r>
        <w:rPr>
          <w:sz w:val="24"/>
          <w:szCs w:val="24"/>
        </w:rPr>
        <w:t xml:space="preserve">è quello </w:t>
      </w:r>
      <w:r w:rsidR="00317B0B">
        <w:rPr>
          <w:sz w:val="24"/>
          <w:szCs w:val="24"/>
        </w:rPr>
        <w:t xml:space="preserve">scritto sul DDT del 2018 del trasportatore. Questa precisazione si rende necessaria in quanto la stessa emulsione è stata </w:t>
      </w:r>
      <w:r w:rsidR="00317B0B">
        <w:rPr>
          <w:sz w:val="24"/>
          <w:szCs w:val="24"/>
        </w:rPr>
        <w:lastRenderedPageBreak/>
        <w:t>segnata, nel 2015 e sempre dal trasportatore, con un codice diverso sul nostro registro di carico e scarico rifiuti (12 01 09 – Emulsione esausta), e nel 2017 con un altro ancora sul database del trasportatore stesso (16 10 02 – Soluzioni acquose di scarto, diverse da quelle di cui alla voce 16 01 09). Si sottolinea che questi tre codici sono attribuiti ciascuno in un passaggio diverso, ma fanno riferimento alla solita emulsione.</w:t>
      </w:r>
    </w:p>
    <w:p w14:paraId="4BC110D2" w14:textId="77777777" w:rsidR="00B705C2" w:rsidRDefault="00B705C2" w:rsidP="00317B0B">
      <w:pPr>
        <w:rPr>
          <w:sz w:val="24"/>
          <w:szCs w:val="24"/>
        </w:rPr>
      </w:pPr>
    </w:p>
    <w:p w14:paraId="326E59B5" w14:textId="4B2011AF" w:rsidR="00317B0B" w:rsidRDefault="00B705C2" w:rsidP="00843C57">
      <w:pPr>
        <w:jc w:val="both"/>
        <w:rPr>
          <w:sz w:val="24"/>
          <w:szCs w:val="24"/>
        </w:rPr>
      </w:pPr>
      <w:r>
        <w:rPr>
          <w:sz w:val="24"/>
          <w:szCs w:val="24"/>
        </w:rPr>
        <w:t xml:space="preserve">Per il calcolo degli scarti di fibre tessili lavorate, si è provveduto a sommare le quantità segnate sul Registro carico e scarico. </w:t>
      </w:r>
      <w:r w:rsidR="004D7669">
        <w:rPr>
          <w:sz w:val="24"/>
          <w:szCs w:val="24"/>
        </w:rPr>
        <w:t>Per sicurezza</w:t>
      </w:r>
      <w:r>
        <w:rPr>
          <w:sz w:val="24"/>
          <w:szCs w:val="24"/>
        </w:rPr>
        <w:t xml:space="preserve">, si </w:t>
      </w:r>
      <w:r w:rsidR="004D7669">
        <w:rPr>
          <w:sz w:val="24"/>
          <w:szCs w:val="24"/>
        </w:rPr>
        <w:t>è anche</w:t>
      </w:r>
      <w:r>
        <w:rPr>
          <w:sz w:val="24"/>
          <w:szCs w:val="24"/>
        </w:rPr>
        <w:t xml:space="preserve"> consulta</w:t>
      </w:r>
      <w:r w:rsidR="004D7669">
        <w:rPr>
          <w:sz w:val="24"/>
          <w:szCs w:val="24"/>
        </w:rPr>
        <w:t>to</w:t>
      </w:r>
      <w:r>
        <w:rPr>
          <w:sz w:val="24"/>
          <w:szCs w:val="24"/>
        </w:rPr>
        <w:t xml:space="preserve"> il database </w:t>
      </w:r>
      <w:r w:rsidR="006F247C">
        <w:rPr>
          <w:sz w:val="24"/>
          <w:szCs w:val="24"/>
        </w:rPr>
        <w:t>della ditta</w:t>
      </w:r>
      <w:r>
        <w:rPr>
          <w:sz w:val="24"/>
          <w:szCs w:val="24"/>
        </w:rPr>
        <w:t xml:space="preserve"> che si occupa dello smaltimento</w:t>
      </w:r>
      <w:r w:rsidR="004D7669">
        <w:rPr>
          <w:sz w:val="24"/>
          <w:szCs w:val="24"/>
        </w:rPr>
        <w:t xml:space="preserve">, così da accertarsi della bontà dei dati </w:t>
      </w:r>
      <w:r w:rsidR="006F247C">
        <w:rPr>
          <w:sz w:val="24"/>
          <w:szCs w:val="24"/>
        </w:rPr>
        <w:t>in possesso di Maglificio Po</w:t>
      </w:r>
      <w:r>
        <w:rPr>
          <w:sz w:val="24"/>
          <w:szCs w:val="24"/>
        </w:rPr>
        <w:t>.</w:t>
      </w:r>
    </w:p>
    <w:p w14:paraId="624011E0" w14:textId="1DCBFF22" w:rsidR="00446325" w:rsidRDefault="00446325" w:rsidP="00A222E8">
      <w:pPr>
        <w:jc w:val="both"/>
        <w:rPr>
          <w:sz w:val="24"/>
          <w:szCs w:val="24"/>
        </w:rPr>
      </w:pPr>
      <w:r>
        <w:rPr>
          <w:sz w:val="24"/>
          <w:szCs w:val="24"/>
        </w:rPr>
        <w:t xml:space="preserve">Infine, per i toner </w:t>
      </w:r>
      <w:r w:rsidR="0027416F">
        <w:rPr>
          <w:sz w:val="24"/>
          <w:szCs w:val="24"/>
        </w:rPr>
        <w:t>sono stati confrontati i dati in nostro possesso con quelli dell</w:t>
      </w:r>
      <w:r w:rsidR="006F247C">
        <w:rPr>
          <w:sz w:val="24"/>
          <w:szCs w:val="24"/>
        </w:rPr>
        <w:t xml:space="preserve">’impresa </w:t>
      </w:r>
      <w:r w:rsidR="0027416F">
        <w:rPr>
          <w:sz w:val="24"/>
          <w:szCs w:val="24"/>
        </w:rPr>
        <w:t>specializzata</w:t>
      </w:r>
      <w:r w:rsidR="00E661DE">
        <w:rPr>
          <w:sz w:val="24"/>
          <w:szCs w:val="24"/>
        </w:rPr>
        <w:t>. Il valore del 2020 risulta doppio rispetto a quello degli anni precedenti in quanto durante quell’anno l’azienda è venuta a ritirare due volte.</w:t>
      </w:r>
    </w:p>
    <w:p w14:paraId="1900CC67" w14:textId="04F5C8A4" w:rsidR="003A1A70" w:rsidRDefault="003A1A70" w:rsidP="003A1A70">
      <w:pPr>
        <w:ind w:left="1416" w:hanging="711"/>
        <w:jc w:val="both"/>
        <w:rPr>
          <w:sz w:val="24"/>
          <w:szCs w:val="24"/>
        </w:rPr>
      </w:pPr>
      <w:r>
        <w:rPr>
          <w:sz w:val="24"/>
          <w:szCs w:val="24"/>
        </w:rPr>
        <w:t>Nota:</w:t>
      </w:r>
      <w:r>
        <w:rPr>
          <w:sz w:val="24"/>
          <w:szCs w:val="24"/>
        </w:rPr>
        <w:tab/>
        <w:t xml:space="preserve">Il codice CER dei toner è il 08 03 18, tuttavia, poiché </w:t>
      </w:r>
      <w:r w:rsidR="00CE2DC8">
        <w:rPr>
          <w:sz w:val="24"/>
          <w:szCs w:val="24"/>
        </w:rPr>
        <w:t>la ditta</w:t>
      </w:r>
      <w:r>
        <w:rPr>
          <w:sz w:val="24"/>
          <w:szCs w:val="24"/>
        </w:rPr>
        <w:t xml:space="preserve"> che li smaltisce usa il codice più generico 16 02 16 e ci ha consigliato di usare lo stesso nei nostri registri, è quello a figurare nell’ Inventario Rifiuti.</w:t>
      </w:r>
    </w:p>
    <w:p w14:paraId="2DCE6834" w14:textId="5F1C74B7" w:rsidR="00BB7DF4" w:rsidRDefault="00BB7DF4" w:rsidP="003A1A70">
      <w:pPr>
        <w:ind w:left="1416" w:hanging="711"/>
        <w:jc w:val="both"/>
        <w:rPr>
          <w:sz w:val="24"/>
          <w:szCs w:val="24"/>
        </w:rPr>
      </w:pPr>
      <w:r>
        <w:rPr>
          <w:sz w:val="24"/>
          <w:szCs w:val="24"/>
        </w:rPr>
        <w:t>Nota:</w:t>
      </w:r>
      <w:r w:rsidR="00C967FB">
        <w:rPr>
          <w:sz w:val="24"/>
          <w:szCs w:val="24"/>
        </w:rPr>
        <w:tab/>
        <w:t>Poiché</w:t>
      </w:r>
      <w:r w:rsidR="00E17C04">
        <w:rPr>
          <w:sz w:val="24"/>
          <w:szCs w:val="24"/>
        </w:rPr>
        <w:t>,</w:t>
      </w:r>
      <w:r w:rsidR="00C967FB">
        <w:rPr>
          <w:sz w:val="24"/>
          <w:szCs w:val="24"/>
        </w:rPr>
        <w:t xml:space="preserve"> ai fini del MUD, quando il trasportatore scarica, gli viene fornito un totale prodotto, ovvero non è in grado di distinguere quanto del peso scaricato appartiene alla specifica azienda, ciò ci esenta dall’obbligo di compilare il MUD relativamente ai toner</w:t>
      </w:r>
      <w:r w:rsidR="00622D72">
        <w:rPr>
          <w:sz w:val="24"/>
          <w:szCs w:val="24"/>
        </w:rPr>
        <w:t xml:space="preserve"> (finché ci avvarremo della società La Nuova Cooperativa)</w:t>
      </w:r>
      <w:r w:rsidR="00C967FB">
        <w:rPr>
          <w:sz w:val="24"/>
          <w:szCs w:val="24"/>
        </w:rPr>
        <w:t>.</w:t>
      </w:r>
    </w:p>
    <w:p w14:paraId="4D1E3EDF" w14:textId="1C5EC263" w:rsidR="00446325" w:rsidRDefault="00446325" w:rsidP="00317B0B">
      <w:pPr>
        <w:rPr>
          <w:sz w:val="24"/>
          <w:szCs w:val="24"/>
        </w:rPr>
      </w:pPr>
    </w:p>
    <w:p w14:paraId="7A540D7A" w14:textId="2D7EA0E5" w:rsidR="00446325" w:rsidRDefault="00CE2DC8" w:rsidP="00317B0B">
      <w:pPr>
        <w:rPr>
          <w:sz w:val="24"/>
          <w:szCs w:val="24"/>
        </w:rPr>
      </w:pPr>
      <w:r>
        <w:rPr>
          <w:sz w:val="24"/>
          <w:szCs w:val="24"/>
        </w:rPr>
        <w:t>DI seguito s</w:t>
      </w:r>
      <w:r w:rsidR="00123A4E">
        <w:rPr>
          <w:sz w:val="24"/>
          <w:szCs w:val="24"/>
        </w:rPr>
        <w:t>ono disponibili alcuni collegamenti</w:t>
      </w:r>
      <w:r w:rsidR="00446325">
        <w:rPr>
          <w:sz w:val="24"/>
          <w:szCs w:val="24"/>
        </w:rPr>
        <w:t xml:space="preserve"> utili</w:t>
      </w:r>
      <w:r w:rsidR="00123A4E">
        <w:rPr>
          <w:sz w:val="24"/>
          <w:szCs w:val="24"/>
        </w:rPr>
        <w:t xml:space="preserve"> a</w:t>
      </w:r>
      <w:r w:rsidR="009142DC">
        <w:rPr>
          <w:sz w:val="24"/>
          <w:szCs w:val="24"/>
        </w:rPr>
        <w:t>d</w:t>
      </w:r>
      <w:r w:rsidR="00123A4E">
        <w:rPr>
          <w:sz w:val="24"/>
          <w:szCs w:val="24"/>
        </w:rPr>
        <w:t xml:space="preserve"> approfondire l’argomento</w:t>
      </w:r>
      <w:r w:rsidR="00446325">
        <w:rPr>
          <w:sz w:val="24"/>
          <w:szCs w:val="24"/>
        </w:rPr>
        <w:t>:</w:t>
      </w:r>
    </w:p>
    <w:p w14:paraId="104E51C2" w14:textId="0A3BA6E7" w:rsidR="00446325" w:rsidRPr="009142DC" w:rsidRDefault="008D6B16" w:rsidP="00446325">
      <w:pPr>
        <w:pStyle w:val="Paragrafoelenco"/>
        <w:numPr>
          <w:ilvl w:val="0"/>
          <w:numId w:val="2"/>
        </w:numPr>
        <w:jc w:val="both"/>
        <w:rPr>
          <w:sz w:val="24"/>
          <w:szCs w:val="24"/>
        </w:rPr>
      </w:pPr>
      <w:hyperlink r:id="rId8" w:history="1">
        <w:r w:rsidR="00E45127" w:rsidRPr="009142DC">
          <w:rPr>
            <w:rStyle w:val="Collegamentoipertestuale"/>
            <w:sz w:val="24"/>
            <w:szCs w:val="24"/>
            <w:u w:val="none"/>
          </w:rPr>
          <w:t>Lista codici CER con relativo significato</w:t>
        </w:r>
      </w:hyperlink>
    </w:p>
    <w:p w14:paraId="565AA57A" w14:textId="10ACF644" w:rsidR="00446325" w:rsidRDefault="00446325" w:rsidP="00446325">
      <w:pPr>
        <w:pStyle w:val="Paragrafoelenco"/>
        <w:numPr>
          <w:ilvl w:val="0"/>
          <w:numId w:val="2"/>
        </w:numPr>
        <w:rPr>
          <w:sz w:val="24"/>
          <w:szCs w:val="24"/>
        </w:rPr>
      </w:pPr>
      <w:r>
        <w:rPr>
          <w:sz w:val="24"/>
          <w:szCs w:val="24"/>
        </w:rPr>
        <w:t>List</w:t>
      </w:r>
      <w:r w:rsidR="006D2514">
        <w:rPr>
          <w:sz w:val="24"/>
          <w:szCs w:val="24"/>
        </w:rPr>
        <w:t>e delle</w:t>
      </w:r>
      <w:r>
        <w:rPr>
          <w:sz w:val="24"/>
          <w:szCs w:val="24"/>
        </w:rPr>
        <w:t xml:space="preserve"> possibili destinazioni del rifiuto</w:t>
      </w:r>
    </w:p>
    <w:p w14:paraId="44F9B056" w14:textId="1F741E5B" w:rsidR="00446325" w:rsidRPr="00C2172D" w:rsidRDefault="008D6B16" w:rsidP="00E4048C">
      <w:pPr>
        <w:pStyle w:val="Paragrafoelenco"/>
        <w:numPr>
          <w:ilvl w:val="1"/>
          <w:numId w:val="2"/>
        </w:numPr>
        <w:jc w:val="both"/>
        <w:rPr>
          <w:sz w:val="24"/>
          <w:szCs w:val="24"/>
        </w:rPr>
      </w:pPr>
      <w:hyperlink r:id="rId9" w:history="1">
        <w:r w:rsidR="006D2514">
          <w:rPr>
            <w:rStyle w:val="Collegamentoipertestuale"/>
            <w:sz w:val="24"/>
            <w:szCs w:val="24"/>
            <w:u w:val="none"/>
          </w:rPr>
          <w:t>Elenco delle operazioni di recupero R</w:t>
        </w:r>
      </w:hyperlink>
    </w:p>
    <w:p w14:paraId="4D85091E" w14:textId="136CFEFA" w:rsidR="00446325" w:rsidRPr="00C2172D" w:rsidRDefault="008D6B16" w:rsidP="00E4048C">
      <w:pPr>
        <w:pStyle w:val="Paragrafoelenco"/>
        <w:numPr>
          <w:ilvl w:val="1"/>
          <w:numId w:val="2"/>
        </w:numPr>
        <w:jc w:val="both"/>
        <w:rPr>
          <w:rStyle w:val="Collegamentoipertestuale"/>
          <w:color w:val="auto"/>
          <w:sz w:val="24"/>
          <w:szCs w:val="24"/>
          <w:u w:val="none"/>
        </w:rPr>
      </w:pPr>
      <w:hyperlink r:id="rId10" w:history="1">
        <w:r w:rsidR="006D2514">
          <w:rPr>
            <w:rStyle w:val="Collegamentoipertestuale"/>
            <w:sz w:val="24"/>
            <w:szCs w:val="24"/>
            <w:u w:val="none"/>
          </w:rPr>
          <w:t>Elenco delle operazioni di smaltimento D</w:t>
        </w:r>
      </w:hyperlink>
    </w:p>
    <w:sectPr w:rsidR="00446325" w:rsidRPr="00C2172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F062F" w14:textId="77777777" w:rsidR="008D6B16" w:rsidRDefault="008D6B16" w:rsidP="00375A9C">
      <w:pPr>
        <w:spacing w:after="0" w:line="240" w:lineRule="auto"/>
      </w:pPr>
      <w:r>
        <w:separator/>
      </w:r>
    </w:p>
  </w:endnote>
  <w:endnote w:type="continuationSeparator" w:id="0">
    <w:p w14:paraId="2D0DF5AF" w14:textId="77777777" w:rsidR="008D6B16" w:rsidRDefault="008D6B16" w:rsidP="00375A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DC585" w14:textId="77777777" w:rsidR="008D6B16" w:rsidRDefault="008D6B16" w:rsidP="00375A9C">
      <w:pPr>
        <w:spacing w:after="0" w:line="240" w:lineRule="auto"/>
      </w:pPr>
      <w:r>
        <w:separator/>
      </w:r>
    </w:p>
  </w:footnote>
  <w:footnote w:type="continuationSeparator" w:id="0">
    <w:p w14:paraId="3DF0BA9A" w14:textId="77777777" w:rsidR="008D6B16" w:rsidRDefault="008D6B16" w:rsidP="00375A9C">
      <w:pPr>
        <w:spacing w:after="0" w:line="240" w:lineRule="auto"/>
      </w:pPr>
      <w:r>
        <w:continuationSeparator/>
      </w:r>
    </w:p>
  </w:footnote>
  <w:footnote w:id="1">
    <w:p w14:paraId="3779FCC8" w14:textId="69A7676E" w:rsidR="00375A9C" w:rsidRDefault="00375A9C">
      <w:pPr>
        <w:pStyle w:val="Testonotaapidipagina"/>
      </w:pPr>
      <w:r>
        <w:rPr>
          <w:rStyle w:val="Rimandonotaapidipagina"/>
        </w:rPr>
        <w:footnoteRef/>
      </w:r>
      <w:r>
        <w:t xml:space="preserve"> Sono presenti 3 tipi di cassonetti:</w:t>
      </w:r>
      <w:r>
        <w:tab/>
        <w:t>da 1100 litri</w:t>
      </w:r>
      <w:r>
        <w:tab/>
        <w:t>per la plastica</w:t>
      </w:r>
    </w:p>
    <w:p w14:paraId="5637E823" w14:textId="3FC19B93" w:rsidR="00375A9C" w:rsidRDefault="00375A9C">
      <w:pPr>
        <w:pStyle w:val="Testonotaapidipagina"/>
      </w:pPr>
      <w:r>
        <w:tab/>
      </w:r>
      <w:r>
        <w:tab/>
      </w:r>
      <w:r>
        <w:tab/>
      </w:r>
      <w:r>
        <w:tab/>
        <w:t>da 770 litri</w:t>
      </w:r>
      <w:r>
        <w:tab/>
        <w:t>per carta e cartone</w:t>
      </w:r>
    </w:p>
    <w:p w14:paraId="017A1F29" w14:textId="7A161748" w:rsidR="00375A9C" w:rsidRDefault="00375A9C">
      <w:pPr>
        <w:pStyle w:val="Testonotaapidipagina"/>
      </w:pPr>
      <w:r>
        <w:tab/>
      </w:r>
      <w:r>
        <w:tab/>
      </w:r>
      <w:r>
        <w:tab/>
      </w:r>
      <w:r>
        <w:tab/>
        <w:t>da 240 litri</w:t>
      </w:r>
      <w:r>
        <w:tab/>
        <w:t>per carta e cartone</w:t>
      </w:r>
    </w:p>
  </w:footnote>
  <w:footnote w:id="2">
    <w:p w14:paraId="5BC3587B" w14:textId="28E9D3CA" w:rsidR="00482307" w:rsidRDefault="00482307" w:rsidP="00482307">
      <w:pPr>
        <w:pStyle w:val="Testonotaapidipagina"/>
      </w:pPr>
      <w:r>
        <w:rPr>
          <w:rStyle w:val="Rimandonotaapidipagina"/>
        </w:rPr>
        <w:footnoteRef/>
      </w:r>
      <w:r>
        <w:t xml:space="preserve"> Cassonetti plastica:</w:t>
      </w:r>
      <w:r>
        <w:tab/>
      </w:r>
      <w:r>
        <w:tab/>
      </w:r>
      <w:r>
        <w:tab/>
        <w:t>Tara = 57 kg</w:t>
      </w:r>
      <w:r>
        <w:tab/>
        <w:t>Peso Lordo = 90 kg</w:t>
      </w:r>
      <w:r>
        <w:tab/>
        <w:t>Quantità = 2</w:t>
      </w:r>
    </w:p>
    <w:p w14:paraId="61B35A29" w14:textId="4ABED4CD" w:rsidR="00482307" w:rsidRDefault="00482307">
      <w:pPr>
        <w:pStyle w:val="Testonotaapidipagina"/>
      </w:pPr>
      <w:r>
        <w:t xml:space="preserve">  Cassonetti carta e cartone grandi</w:t>
      </w:r>
      <w:r>
        <w:tab/>
      </w:r>
      <w:r>
        <w:tab/>
        <w:t>Tara = 40 kg</w:t>
      </w:r>
      <w:r>
        <w:tab/>
        <w:t>Peso Lordo = 75 kg</w:t>
      </w:r>
      <w:r>
        <w:tab/>
        <w:t>Quantità = 4</w:t>
      </w:r>
    </w:p>
    <w:p w14:paraId="15F699E9" w14:textId="18254C95" w:rsidR="00482307" w:rsidRDefault="00482307">
      <w:pPr>
        <w:pStyle w:val="Testonotaapidipagina"/>
      </w:pPr>
      <w:r>
        <w:t xml:space="preserve">  Cassonetti carta e cartone piccoli</w:t>
      </w:r>
      <w:r>
        <w:tab/>
      </w:r>
      <w:r>
        <w:tab/>
        <w:t>Tara = 20 kg</w:t>
      </w:r>
      <w:r>
        <w:tab/>
        <w:t>Peso lordo = 40 kg</w:t>
      </w:r>
      <w:r>
        <w:tab/>
        <w:t>Quantità = 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F57D6"/>
    <w:multiLevelType w:val="hybridMultilevel"/>
    <w:tmpl w:val="1084DB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7759A3"/>
    <w:multiLevelType w:val="hybridMultilevel"/>
    <w:tmpl w:val="36CCA9DA"/>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EC4"/>
    <w:rsid w:val="000036D1"/>
    <w:rsid w:val="00033586"/>
    <w:rsid w:val="000E0CDB"/>
    <w:rsid w:val="000E7C69"/>
    <w:rsid w:val="00123A4E"/>
    <w:rsid w:val="00211EFC"/>
    <w:rsid w:val="00254FEE"/>
    <w:rsid w:val="0027416F"/>
    <w:rsid w:val="00305A73"/>
    <w:rsid w:val="00317B0B"/>
    <w:rsid w:val="00375A9C"/>
    <w:rsid w:val="003A1A70"/>
    <w:rsid w:val="00446325"/>
    <w:rsid w:val="00462E40"/>
    <w:rsid w:val="00482307"/>
    <w:rsid w:val="00491420"/>
    <w:rsid w:val="004D7669"/>
    <w:rsid w:val="004E5B07"/>
    <w:rsid w:val="00565FCF"/>
    <w:rsid w:val="005F1414"/>
    <w:rsid w:val="006035AC"/>
    <w:rsid w:val="00622D72"/>
    <w:rsid w:val="00631714"/>
    <w:rsid w:val="00666EC4"/>
    <w:rsid w:val="006D2514"/>
    <w:rsid w:val="006F247C"/>
    <w:rsid w:val="00732D70"/>
    <w:rsid w:val="00843C57"/>
    <w:rsid w:val="00856B40"/>
    <w:rsid w:val="008D6B16"/>
    <w:rsid w:val="009142DC"/>
    <w:rsid w:val="00932069"/>
    <w:rsid w:val="00995EE7"/>
    <w:rsid w:val="009A4382"/>
    <w:rsid w:val="00A14F24"/>
    <w:rsid w:val="00A222E8"/>
    <w:rsid w:val="00AF6F26"/>
    <w:rsid w:val="00B705C2"/>
    <w:rsid w:val="00BB1F70"/>
    <w:rsid w:val="00BB7DF4"/>
    <w:rsid w:val="00C2172D"/>
    <w:rsid w:val="00C3381B"/>
    <w:rsid w:val="00C967FB"/>
    <w:rsid w:val="00CE2DC8"/>
    <w:rsid w:val="00D03CDB"/>
    <w:rsid w:val="00D27F96"/>
    <w:rsid w:val="00D72DDA"/>
    <w:rsid w:val="00DB69F0"/>
    <w:rsid w:val="00E17C04"/>
    <w:rsid w:val="00E31B07"/>
    <w:rsid w:val="00E4048C"/>
    <w:rsid w:val="00E45127"/>
    <w:rsid w:val="00E661DE"/>
    <w:rsid w:val="00EC0A55"/>
    <w:rsid w:val="00F13DF3"/>
    <w:rsid w:val="00FF3A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CC4C4"/>
  <w15:chartTrackingRefBased/>
  <w15:docId w15:val="{0CA13D6A-4550-498E-BFE3-76D8567C8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66EC4"/>
    <w:pPr>
      <w:ind w:left="720"/>
      <w:contextualSpacing/>
    </w:pPr>
  </w:style>
  <w:style w:type="character" w:styleId="Testosegnaposto">
    <w:name w:val="Placeholder Text"/>
    <w:basedOn w:val="Carpredefinitoparagrafo"/>
    <w:uiPriority w:val="99"/>
    <w:semiHidden/>
    <w:rsid w:val="00666EC4"/>
    <w:rPr>
      <w:color w:val="808080"/>
    </w:rPr>
  </w:style>
  <w:style w:type="paragraph" w:styleId="Testonotaapidipagina">
    <w:name w:val="footnote text"/>
    <w:basedOn w:val="Normale"/>
    <w:link w:val="TestonotaapidipaginaCarattere"/>
    <w:uiPriority w:val="99"/>
    <w:semiHidden/>
    <w:unhideWhenUsed/>
    <w:rsid w:val="00375A9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75A9C"/>
    <w:rPr>
      <w:sz w:val="20"/>
      <w:szCs w:val="20"/>
    </w:rPr>
  </w:style>
  <w:style w:type="character" w:styleId="Rimandonotaapidipagina">
    <w:name w:val="footnote reference"/>
    <w:basedOn w:val="Carpredefinitoparagrafo"/>
    <w:uiPriority w:val="99"/>
    <w:semiHidden/>
    <w:unhideWhenUsed/>
    <w:rsid w:val="00375A9C"/>
    <w:rPr>
      <w:vertAlign w:val="superscript"/>
    </w:rPr>
  </w:style>
  <w:style w:type="character" w:styleId="Rimandocommento">
    <w:name w:val="annotation reference"/>
    <w:basedOn w:val="Carpredefinitoparagrafo"/>
    <w:uiPriority w:val="99"/>
    <w:semiHidden/>
    <w:unhideWhenUsed/>
    <w:rsid w:val="00BB1F70"/>
    <w:rPr>
      <w:sz w:val="16"/>
      <w:szCs w:val="16"/>
    </w:rPr>
  </w:style>
  <w:style w:type="paragraph" w:styleId="Testocommento">
    <w:name w:val="annotation text"/>
    <w:basedOn w:val="Normale"/>
    <w:link w:val="TestocommentoCarattere"/>
    <w:uiPriority w:val="99"/>
    <w:semiHidden/>
    <w:unhideWhenUsed/>
    <w:rsid w:val="00BB1F7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B1F70"/>
    <w:rPr>
      <w:sz w:val="20"/>
      <w:szCs w:val="20"/>
    </w:rPr>
  </w:style>
  <w:style w:type="paragraph" w:styleId="Soggettocommento">
    <w:name w:val="annotation subject"/>
    <w:basedOn w:val="Testocommento"/>
    <w:next w:val="Testocommento"/>
    <w:link w:val="SoggettocommentoCarattere"/>
    <w:uiPriority w:val="99"/>
    <w:semiHidden/>
    <w:unhideWhenUsed/>
    <w:rsid w:val="00BB1F70"/>
    <w:rPr>
      <w:b/>
      <w:bCs/>
    </w:rPr>
  </w:style>
  <w:style w:type="character" w:customStyle="1" w:styleId="SoggettocommentoCarattere">
    <w:name w:val="Soggetto commento Carattere"/>
    <w:basedOn w:val="TestocommentoCarattere"/>
    <w:link w:val="Soggettocommento"/>
    <w:uiPriority w:val="99"/>
    <w:semiHidden/>
    <w:rsid w:val="00BB1F70"/>
    <w:rPr>
      <w:b/>
      <w:bCs/>
      <w:sz w:val="20"/>
      <w:szCs w:val="20"/>
    </w:rPr>
  </w:style>
  <w:style w:type="character" w:styleId="Collegamentoipertestuale">
    <w:name w:val="Hyperlink"/>
    <w:basedOn w:val="Carpredefinitoparagrafo"/>
    <w:uiPriority w:val="99"/>
    <w:unhideWhenUsed/>
    <w:rsid w:val="00BB1F70"/>
    <w:rPr>
      <w:color w:val="0563C1" w:themeColor="hyperlink"/>
      <w:u w:val="single"/>
    </w:rPr>
  </w:style>
  <w:style w:type="character" w:styleId="Menzionenonrisolta">
    <w:name w:val="Unresolved Mention"/>
    <w:basedOn w:val="Carpredefinitoparagrafo"/>
    <w:uiPriority w:val="99"/>
    <w:semiHidden/>
    <w:unhideWhenUsed/>
    <w:rsid w:val="00BB1F70"/>
    <w:rPr>
      <w:color w:val="605E5C"/>
      <w:shd w:val="clear" w:color="auto" w:fill="E1DFDD"/>
    </w:rPr>
  </w:style>
  <w:style w:type="character" w:styleId="Collegamentovisitato">
    <w:name w:val="FollowedHyperlink"/>
    <w:basedOn w:val="Carpredefinitoparagrafo"/>
    <w:uiPriority w:val="99"/>
    <w:semiHidden/>
    <w:unhideWhenUsed/>
    <w:rsid w:val="003A1A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gfambiente.it/codici-c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ecnorifiuti.it/index.php?id=127" TargetMode="External"/><Relationship Id="rId4" Type="http://schemas.openxmlformats.org/officeDocument/2006/relationships/settings" Target="settings.xml"/><Relationship Id="rId9" Type="http://schemas.openxmlformats.org/officeDocument/2006/relationships/hyperlink" Target="http://www.tecnorifiuti.it/index.php?id=125"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3FF0C-B9A0-4D89-8745-567CE6F2E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2</Pages>
  <Words>641</Words>
  <Characters>3656</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stage2</dc:creator>
  <cp:keywords/>
  <dc:description/>
  <cp:lastModifiedBy>Umberto Boggio Viola</cp:lastModifiedBy>
  <cp:revision>47</cp:revision>
  <dcterms:created xsi:type="dcterms:W3CDTF">2021-06-03T10:32:00Z</dcterms:created>
  <dcterms:modified xsi:type="dcterms:W3CDTF">2021-08-31T00:26:00Z</dcterms:modified>
</cp:coreProperties>
</file>